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F8" w:rsidRDefault="00505DE4" w:rsidP="00CC55F8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Основные потребители электронных услуг - муниципалитеты</w:t>
      </w:r>
      <w:bookmarkEnd w:id="0"/>
    </w:p>
    <w:p w:rsidR="0031512D" w:rsidRPr="000158DE" w:rsidRDefault="0031512D" w:rsidP="00CC55F8">
      <w:pPr>
        <w:spacing w:after="0" w:line="240" w:lineRule="auto"/>
        <w:jc w:val="center"/>
        <w:rPr>
          <w:b/>
        </w:rPr>
      </w:pPr>
    </w:p>
    <w:p w:rsidR="001C26A7" w:rsidRPr="0031512D" w:rsidRDefault="001C26A7" w:rsidP="001C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Управление Росреестра по Республике Башкортостан продолжает активно внедрять информационные технологии Росреестра на территории республики и  входит в число лидеров по количеству заявлений на государственный кадастровый учет и государственную регистрацию прав. </w:t>
      </w:r>
    </w:p>
    <w:p w:rsidR="001C26A7" w:rsidRDefault="001C26A7" w:rsidP="001C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квартале 2019 года на государственную регистрацию прав подано 31 225, что </w:t>
      </w:r>
      <w:r w:rsidR="00046B43">
        <w:rPr>
          <w:rFonts w:cs="Times New Roman"/>
          <w:szCs w:val="28"/>
        </w:rPr>
        <w:t xml:space="preserve">в 1,6 раза </w:t>
      </w:r>
      <w:r>
        <w:rPr>
          <w:rFonts w:cs="Times New Roman"/>
          <w:szCs w:val="28"/>
        </w:rPr>
        <w:t>больше показателя за аналогичный период 2018 года</w:t>
      </w:r>
      <w:r w:rsidRPr="001C26A7">
        <w:rPr>
          <w:rFonts w:cs="Times New Roman"/>
          <w:szCs w:val="28"/>
        </w:rPr>
        <w:t xml:space="preserve"> (19224) </w:t>
      </w:r>
      <w:r>
        <w:rPr>
          <w:rFonts w:cs="Times New Roman"/>
          <w:szCs w:val="28"/>
        </w:rPr>
        <w:t xml:space="preserve"> и  13 795 заявлений на государственный кадастровый учет</w:t>
      </w:r>
      <w:r w:rsidR="00046B43">
        <w:rPr>
          <w:rFonts w:cs="Times New Roman"/>
          <w:szCs w:val="28"/>
        </w:rPr>
        <w:t xml:space="preserve">, что </w:t>
      </w:r>
      <w:r w:rsidR="00505DE4">
        <w:rPr>
          <w:rFonts w:cs="Times New Roman"/>
          <w:szCs w:val="28"/>
        </w:rPr>
        <w:t xml:space="preserve">в </w:t>
      </w:r>
      <w:r w:rsidR="00046B43">
        <w:rPr>
          <w:rFonts w:cs="Times New Roman"/>
          <w:szCs w:val="28"/>
        </w:rPr>
        <w:t xml:space="preserve">2,7 раза </w:t>
      </w:r>
      <w:r>
        <w:rPr>
          <w:rFonts w:cs="Times New Roman"/>
          <w:szCs w:val="28"/>
        </w:rPr>
        <w:t>превышает показатель за аналогичный период 2018 года</w:t>
      </w:r>
      <w:r w:rsidRPr="001C26A7">
        <w:rPr>
          <w:rFonts w:cs="Times New Roman"/>
          <w:szCs w:val="28"/>
        </w:rPr>
        <w:t xml:space="preserve"> (5 385)</w:t>
      </w:r>
      <w:r>
        <w:rPr>
          <w:rFonts w:cs="Times New Roman"/>
          <w:szCs w:val="28"/>
        </w:rPr>
        <w:t>.</w:t>
      </w:r>
    </w:p>
    <w:p w:rsidR="008108B7" w:rsidRPr="00046B43" w:rsidRDefault="008108B7" w:rsidP="001C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C26A7" w:rsidRDefault="00046B43" w:rsidP="00046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046B43">
        <w:rPr>
          <w:rFonts w:cs="Times New Roman"/>
          <w:noProof/>
          <w:szCs w:val="28"/>
          <w:lang w:eastAsia="ru-RU"/>
        </w:rPr>
        <w:drawing>
          <wp:inline distT="0" distB="0" distL="0" distR="0" wp14:anchorId="7A34D81E" wp14:editId="5853EF02">
            <wp:extent cx="4543402" cy="2232248"/>
            <wp:effectExtent l="0" t="0" r="1016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46B43" w:rsidRDefault="00046B43" w:rsidP="00046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046B43" w:rsidRDefault="00046B43" w:rsidP="00046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046B43">
        <w:rPr>
          <w:rFonts w:cs="Times New Roman"/>
          <w:noProof/>
          <w:szCs w:val="28"/>
          <w:lang w:eastAsia="ru-RU"/>
        </w:rPr>
        <w:drawing>
          <wp:inline distT="0" distB="0" distL="0" distR="0" wp14:anchorId="559D8FBA" wp14:editId="189FA837">
            <wp:extent cx="4572000" cy="2304256"/>
            <wp:effectExtent l="0" t="0" r="1905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6B43" w:rsidRDefault="00046B43" w:rsidP="00046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046B43" w:rsidRDefault="00046B43" w:rsidP="0031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Наибольшая доля заявлений на государственную регистрацию  прав и кадастровый учет приходится на заявления органов местного самоуправления 37 % и 69 % соответственно.  </w:t>
      </w:r>
    </w:p>
    <w:p w:rsidR="00046B43" w:rsidRDefault="00046B43" w:rsidP="0031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февраля 20</w:t>
      </w:r>
      <w:r w:rsidR="0031512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9 года в связи с изменением законодательства значительно увеличилось количество заявлений на государственную регистрацию прав в электронном виде от нотариусов, доля заявлений которых в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квартале 2019 года составила 36 % от общего количества, поданных в электронном виде заявлений на государственную регистрацию прав. </w:t>
      </w:r>
    </w:p>
    <w:p w:rsidR="00046B43" w:rsidRDefault="00046B43" w:rsidP="00046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31512D" w:rsidRPr="00046B43" w:rsidRDefault="0031512D" w:rsidP="003151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32BB9CEE" wp14:editId="62802A3B">
            <wp:extent cx="6115050" cy="2876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A7" w:rsidRPr="001C26A7" w:rsidRDefault="001C26A7" w:rsidP="000158D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1512D" w:rsidRDefault="0031512D" w:rsidP="000158D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1512D" w:rsidRDefault="0031512D" w:rsidP="000158D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Увеличение активности органов местного самоуправления по переходу на электронную форму получения услуг Росреестра </w:t>
      </w:r>
      <w:r w:rsidR="008108B7">
        <w:t xml:space="preserve">в свою очередь </w:t>
      </w:r>
      <w:r>
        <w:t xml:space="preserve">является существенным факторам снижения административных барьеров. </w:t>
      </w:r>
    </w:p>
    <w:p w:rsidR="0031512D" w:rsidRDefault="0031512D" w:rsidP="000158D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97BA6" w:rsidRDefault="0031512D" w:rsidP="0001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Так</w:t>
      </w:r>
      <w:r w:rsidR="00B71F34">
        <w:t xml:space="preserve">, </w:t>
      </w:r>
      <w:r w:rsidR="00297BA6">
        <w:t xml:space="preserve">целевыми моделями </w:t>
      </w:r>
      <w:r>
        <w:t xml:space="preserve">упрощения процедур ведения бизнеса </w:t>
      </w:r>
      <w:r w:rsidR="00297BA6">
        <w:t xml:space="preserve">в учетно-регистрационной сфере, утвержденными распоряжением Правительства Российской Федерации от 31 января 2017 года № 147-р, в том числе определена необходимость </w:t>
      </w:r>
      <w:r w:rsidR="00297BA6">
        <w:rPr>
          <w:rFonts w:cs="Times New Roman"/>
          <w:szCs w:val="28"/>
        </w:rPr>
        <w:t>перехода к подаче каждым органом местного самоуправления в субъекте Российской Федерации заявлений о государственной регистрации прав (кадастровом учете) исключительно в электронном виде.</w:t>
      </w:r>
    </w:p>
    <w:p w:rsidR="00297BA6" w:rsidRDefault="00297BA6" w:rsidP="0001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58DE" w:rsidRDefault="00297BA6" w:rsidP="0001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Целевыми моделями установлено увеличение до конца 2019 года доли услуг по государственной регистрации прав (государственному кадастровому учету), оказываемых органам государственной власти субъектов Российской Федерации и местного самоуправления в электронном виде, в общем количестве таких услуг, оказанных органам государственной власти и местного самоуправления до 80 %.</w:t>
      </w:r>
      <w:r w:rsidR="000158DE">
        <w:rPr>
          <w:rFonts w:cs="Times New Roman"/>
          <w:szCs w:val="28"/>
        </w:rPr>
        <w:t xml:space="preserve"> </w:t>
      </w:r>
    </w:p>
    <w:p w:rsidR="00DA4EDA" w:rsidRDefault="00DA4EDA" w:rsidP="0001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58DE" w:rsidRDefault="00297BA6" w:rsidP="0001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итогам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квартала 2019 года по Республике Башкортостан </w:t>
      </w:r>
      <w:r w:rsidR="000158DE">
        <w:rPr>
          <w:rFonts w:cs="Times New Roman"/>
          <w:szCs w:val="28"/>
        </w:rPr>
        <w:t>данный показатель достигнут. Так в январе-марте 2019 года в электронном виде органами власти и местного самоуправления Республики Башкортостан подано в Росреестр 90,46 % заявлений на государственную регистрацию прав и 84,41 % заявлений на государственный кадастровый учет</w:t>
      </w:r>
      <w:r w:rsidR="00DA4EDA">
        <w:rPr>
          <w:rFonts w:cs="Times New Roman"/>
          <w:szCs w:val="28"/>
        </w:rPr>
        <w:t xml:space="preserve"> от </w:t>
      </w:r>
      <w:r w:rsidR="000158DE">
        <w:rPr>
          <w:rFonts w:cs="Times New Roman"/>
          <w:szCs w:val="28"/>
        </w:rPr>
        <w:t>обще</w:t>
      </w:r>
      <w:r w:rsidR="00DA4EDA">
        <w:rPr>
          <w:rFonts w:cs="Times New Roman"/>
          <w:szCs w:val="28"/>
        </w:rPr>
        <w:t>го</w:t>
      </w:r>
      <w:r w:rsidR="000158DE">
        <w:rPr>
          <w:rFonts w:cs="Times New Roman"/>
          <w:szCs w:val="28"/>
        </w:rPr>
        <w:t xml:space="preserve"> количеств</w:t>
      </w:r>
      <w:r w:rsidR="00DA4EDA">
        <w:rPr>
          <w:rFonts w:cs="Times New Roman"/>
          <w:szCs w:val="28"/>
        </w:rPr>
        <w:t>а</w:t>
      </w:r>
      <w:r w:rsidR="000158DE">
        <w:rPr>
          <w:rFonts w:cs="Times New Roman"/>
          <w:szCs w:val="28"/>
        </w:rPr>
        <w:t xml:space="preserve"> поданных ими заявлений.</w:t>
      </w:r>
    </w:p>
    <w:p w:rsidR="00CC55F8" w:rsidRDefault="00CC55F8" w:rsidP="0001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B12D9" w:rsidRPr="00297BA6" w:rsidRDefault="00CC55F8" w:rsidP="00315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Предоставление услуг Росреестра через Интернет является одним из факторов, которые значительно позволяют сокращать количество процедур  и времени, при постановке объектов </w:t>
      </w:r>
      <w:r w:rsidR="00A12EEB">
        <w:rPr>
          <w:rFonts w:cs="Times New Roman"/>
          <w:szCs w:val="28"/>
        </w:rPr>
        <w:t>недвижимости</w:t>
      </w:r>
      <w:r>
        <w:rPr>
          <w:rFonts w:cs="Times New Roman"/>
          <w:szCs w:val="28"/>
        </w:rPr>
        <w:t xml:space="preserve"> на </w:t>
      </w:r>
      <w:r w:rsidR="00A12EEB">
        <w:rPr>
          <w:rFonts w:cs="Times New Roman"/>
          <w:szCs w:val="28"/>
        </w:rPr>
        <w:t>кадастровый</w:t>
      </w:r>
      <w:r>
        <w:rPr>
          <w:rFonts w:cs="Times New Roman"/>
          <w:szCs w:val="28"/>
        </w:rPr>
        <w:t xml:space="preserve"> учет и регистрации </w:t>
      </w:r>
      <w:r w:rsidR="00A12EEB">
        <w:rPr>
          <w:rFonts w:cs="Times New Roman"/>
          <w:szCs w:val="28"/>
        </w:rPr>
        <w:t>прав</w:t>
      </w:r>
      <w:r>
        <w:rPr>
          <w:rFonts w:cs="Times New Roman"/>
          <w:szCs w:val="28"/>
        </w:rPr>
        <w:t xml:space="preserve"> на них.</w:t>
      </w:r>
      <w:r w:rsidR="00A12EEB">
        <w:rPr>
          <w:rFonts w:cs="Times New Roman"/>
          <w:szCs w:val="28"/>
        </w:rPr>
        <w:t xml:space="preserve"> </w:t>
      </w:r>
    </w:p>
    <w:sectPr w:rsidR="00AB12D9" w:rsidRPr="00297BA6" w:rsidSect="00DC47AD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A6"/>
    <w:rsid w:val="000158DE"/>
    <w:rsid w:val="00046B43"/>
    <w:rsid w:val="001C26A7"/>
    <w:rsid w:val="00240ED2"/>
    <w:rsid w:val="00247775"/>
    <w:rsid w:val="00297BA6"/>
    <w:rsid w:val="0031512D"/>
    <w:rsid w:val="00505DE4"/>
    <w:rsid w:val="008108B7"/>
    <w:rsid w:val="00A12EEB"/>
    <w:rsid w:val="00AB12D9"/>
    <w:rsid w:val="00B71F34"/>
    <w:rsid w:val="00CC55F8"/>
    <w:rsid w:val="00DA4EDA"/>
    <w:rsid w:val="00D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35C21-F8EB-4ECA-8A83-1DDBA28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solidFill>
                  <a:srgbClr val="0070C0"/>
                </a:solidFill>
              </a:defRPr>
            </a:pPr>
            <a:r>
              <a:rPr lang="ru-RU" sz="1100" b="1" dirty="0">
                <a:solidFill>
                  <a:srgbClr val="0070C0"/>
                </a:solidFill>
              </a:rPr>
              <a:t>Количество заявлений на государственную регистрацию прав в электронном виде </a:t>
            </a:r>
          </a:p>
          <a:p>
            <a:pPr>
              <a:defRPr sz="1100" b="1">
                <a:solidFill>
                  <a:srgbClr val="0070C0"/>
                </a:solidFill>
              </a:defRPr>
            </a:pPr>
            <a:r>
              <a:rPr lang="ru-RU" sz="1100" b="1" dirty="0">
                <a:solidFill>
                  <a:srgbClr val="0070C0"/>
                </a:solidFill>
              </a:rPr>
              <a:t>на</a:t>
            </a:r>
            <a:r>
              <a:rPr lang="en-US" sz="1100" b="1" dirty="0">
                <a:solidFill>
                  <a:srgbClr val="0070C0"/>
                </a:solidFill>
              </a:rPr>
              <a:t> </a:t>
            </a:r>
            <a:r>
              <a:rPr lang="ru-RU" sz="1100" b="1" dirty="0">
                <a:solidFill>
                  <a:srgbClr val="0070C0"/>
                </a:solidFill>
              </a:rPr>
              <a:t>территории </a:t>
            </a:r>
            <a:r>
              <a:rPr lang="ru-RU" sz="1100" b="1" baseline="0" dirty="0">
                <a:solidFill>
                  <a:srgbClr val="0070C0"/>
                </a:solidFill>
              </a:rPr>
              <a:t>Республики Башкортостан </a:t>
            </a:r>
          </a:p>
          <a:p>
            <a:pPr>
              <a:defRPr sz="1100" b="1">
                <a:solidFill>
                  <a:srgbClr val="0070C0"/>
                </a:solidFill>
              </a:defRPr>
            </a:pPr>
            <a:r>
              <a:rPr lang="ru-RU" sz="1100" b="1" baseline="0" dirty="0">
                <a:solidFill>
                  <a:srgbClr val="0070C0"/>
                </a:solidFill>
              </a:rPr>
              <a:t>в </a:t>
            </a:r>
            <a:r>
              <a:rPr lang="en-US" sz="1100" b="1" baseline="0" dirty="0">
                <a:solidFill>
                  <a:srgbClr val="0070C0"/>
                </a:solidFill>
              </a:rPr>
              <a:t>I</a:t>
            </a:r>
            <a:r>
              <a:rPr lang="ru-RU" sz="1100" b="1" baseline="0" dirty="0">
                <a:solidFill>
                  <a:srgbClr val="0070C0"/>
                </a:solidFill>
              </a:rPr>
              <a:t> квартале 2019 года</a:t>
            </a:r>
            <a:endParaRPr lang="ru-RU" sz="1100" b="1" dirty="0">
              <a:solidFill>
                <a:srgbClr val="0070C0"/>
              </a:solidFill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38524572538535146"/>
          <c:w val="0.9421762427890833"/>
          <c:h val="0.4100677881669062"/>
        </c:manualLayout>
      </c:layout>
      <c:lineChart>
        <c:grouping val="standar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I квартал 2018 года</c:v>
                </c:pt>
              </c:strCache>
            </c:strRef>
          </c:tx>
          <c:spPr>
            <a:ln w="19050">
              <a:solidFill>
                <a:srgbClr val="0070C0"/>
              </a:solidFill>
              <a:prstDash val="dash"/>
            </a:ln>
          </c:spPr>
          <c:marker>
            <c:spPr>
              <a:solidFill>
                <a:srgbClr val="0070C0"/>
              </a:solidFill>
              <a:ln w="19050">
                <a:solidFill>
                  <a:srgbClr val="0070C0"/>
                </a:solidFill>
                <a:prstDash val="dash"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0" i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7173</c:v>
                </c:pt>
                <c:pt idx="1">
                  <c:v>10933</c:v>
                </c:pt>
                <c:pt idx="2">
                  <c:v>13119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23-4D21-9F18-5348FE0932B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/>
        <c:marker val="1"/>
        <c:smooth val="0"/>
        <c:axId val="65738240"/>
        <c:axId val="65739776"/>
      </c:lineChart>
      <c:catAx>
        <c:axId val="6573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solidFill>
                  <a:schemeClr val="accent4">
                    <a:lumMod val="50000"/>
                  </a:schemeClr>
                </a:solidFill>
              </a:defRPr>
            </a:pPr>
            <a:endParaRPr lang="ru-RU"/>
          </a:p>
        </c:txPr>
        <c:crossAx val="65739776"/>
        <c:crosses val="autoZero"/>
        <c:auto val="1"/>
        <c:lblAlgn val="ctr"/>
        <c:lblOffset val="100"/>
        <c:noMultiLvlLbl val="0"/>
      </c:catAx>
      <c:valAx>
        <c:axId val="65739776"/>
        <c:scaling>
          <c:orientation val="minMax"/>
          <c:min val="100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57382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solidFill>
                  <a:srgbClr val="70B22C"/>
                </a:solidFill>
              </a:defRPr>
            </a:pPr>
            <a:r>
              <a:rPr lang="ru-RU" sz="1100" b="1" dirty="0">
                <a:solidFill>
                  <a:srgbClr val="70B22C"/>
                </a:solidFill>
              </a:rPr>
              <a:t>Количество заявлений на государственный кадастровый учет в электронном виде </a:t>
            </a:r>
          </a:p>
          <a:p>
            <a:pPr>
              <a:defRPr sz="1100" b="1">
                <a:solidFill>
                  <a:srgbClr val="70B22C"/>
                </a:solidFill>
              </a:defRPr>
            </a:pPr>
            <a:r>
              <a:rPr lang="ru-RU" sz="1100" b="1" dirty="0">
                <a:solidFill>
                  <a:srgbClr val="70B22C"/>
                </a:solidFill>
              </a:rPr>
              <a:t> на</a:t>
            </a:r>
            <a:r>
              <a:rPr lang="en-US" sz="1100" b="1" dirty="0">
                <a:solidFill>
                  <a:srgbClr val="70B22C"/>
                </a:solidFill>
              </a:rPr>
              <a:t> </a:t>
            </a:r>
            <a:r>
              <a:rPr lang="ru-RU" sz="1100" b="1" dirty="0">
                <a:solidFill>
                  <a:srgbClr val="70B22C"/>
                </a:solidFill>
              </a:rPr>
              <a:t>территории </a:t>
            </a:r>
            <a:r>
              <a:rPr lang="ru-RU" sz="1100" b="1" baseline="0" dirty="0">
                <a:solidFill>
                  <a:srgbClr val="70B22C"/>
                </a:solidFill>
              </a:rPr>
              <a:t>Республики Башкортостан</a:t>
            </a:r>
          </a:p>
          <a:p>
            <a:pPr>
              <a:defRPr sz="1100" b="1">
                <a:solidFill>
                  <a:srgbClr val="70B22C"/>
                </a:solidFill>
              </a:defRPr>
            </a:pPr>
            <a:r>
              <a:rPr lang="ru-RU" sz="1100" b="1" baseline="0" dirty="0">
                <a:solidFill>
                  <a:srgbClr val="70B22C"/>
                </a:solidFill>
              </a:rPr>
              <a:t> в </a:t>
            </a:r>
            <a:r>
              <a:rPr lang="en-US" sz="1100" b="1" baseline="0" dirty="0">
                <a:solidFill>
                  <a:srgbClr val="70B22C"/>
                </a:solidFill>
              </a:rPr>
              <a:t>I</a:t>
            </a:r>
            <a:r>
              <a:rPr lang="ru-RU" sz="1100" b="1" baseline="0" dirty="0">
                <a:solidFill>
                  <a:srgbClr val="70B22C"/>
                </a:solidFill>
              </a:rPr>
              <a:t> квартале 2019 года</a:t>
            </a:r>
            <a:endParaRPr lang="ru-RU" sz="1100" b="1" dirty="0">
              <a:solidFill>
                <a:srgbClr val="70B22C"/>
              </a:solidFill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33973119148377451"/>
          <c:w val="0.9421762427890833"/>
          <c:h val="0.455582271161790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I квартал 2018 года</c:v>
                </c:pt>
              </c:strCache>
            </c:strRef>
          </c:tx>
          <c:spPr>
            <a:ln w="19050">
              <a:solidFill>
                <a:schemeClr val="accent3">
                  <a:lumMod val="75000"/>
                </a:schemeClr>
              </a:solidFill>
              <a:prstDash val="dash"/>
            </a:ln>
          </c:spPr>
          <c:marker>
            <c:spPr>
              <a:solidFill>
                <a:schemeClr val="accent3">
                  <a:lumMod val="75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  <a:prstDash val="dash"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0" i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4020</c:v>
                </c:pt>
                <c:pt idx="1">
                  <c:v>4050</c:v>
                </c:pt>
                <c:pt idx="2">
                  <c:v>5725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0E-4C3F-A081-65E887A188F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/>
        <c:marker val="1"/>
        <c:smooth val="0"/>
        <c:axId val="83099008"/>
        <c:axId val="92062848"/>
      </c:lineChart>
      <c:catAx>
        <c:axId val="8309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solidFill>
                  <a:schemeClr val="accent4">
                    <a:lumMod val="50000"/>
                  </a:schemeClr>
                </a:solidFill>
              </a:defRPr>
            </a:pPr>
            <a:endParaRPr lang="ru-RU"/>
          </a:p>
        </c:txPr>
        <c:crossAx val="92062848"/>
        <c:crosses val="autoZero"/>
        <c:auto val="1"/>
        <c:lblAlgn val="ctr"/>
        <c:lblOffset val="100"/>
        <c:noMultiLvlLbl val="0"/>
      </c:catAx>
      <c:valAx>
        <c:axId val="92062848"/>
        <c:scaling>
          <c:orientation val="minMax"/>
          <c:min val="100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3099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Muhametova.omik</dc:creator>
  <cp:lastModifiedBy>User</cp:lastModifiedBy>
  <cp:revision>2</cp:revision>
  <dcterms:created xsi:type="dcterms:W3CDTF">2019-06-13T09:53:00Z</dcterms:created>
  <dcterms:modified xsi:type="dcterms:W3CDTF">2019-06-13T09:53:00Z</dcterms:modified>
</cp:coreProperties>
</file>